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5EBD" w14:textId="7B79ADCB" w:rsidR="000D116C" w:rsidRDefault="00A11367" w:rsidP="00A11367">
      <w:pPr>
        <w:pStyle w:val="a9"/>
        <w:numPr>
          <w:ilvl w:val="0"/>
          <w:numId w:val="1"/>
        </w:numPr>
      </w:pPr>
      <w:r>
        <w:rPr>
          <w:rFonts w:hint="eastAsia"/>
        </w:rPr>
        <w:t>检测设备：高分辨质谱仪</w:t>
      </w:r>
      <w:proofErr w:type="spellStart"/>
      <w:r>
        <w:rPr>
          <w:rFonts w:hint="eastAsia"/>
        </w:rPr>
        <w:t>Thermo</w:t>
      </w:r>
      <w:proofErr w:type="spellEnd"/>
      <w:r>
        <w:rPr>
          <w:rFonts w:hint="eastAsia"/>
        </w:rPr>
        <w:t xml:space="preserve"> Scientific Orbitrap </w:t>
      </w:r>
      <w:proofErr w:type="spellStart"/>
      <w:r>
        <w:rPr>
          <w:rFonts w:hint="eastAsia"/>
        </w:rPr>
        <w:t>Exploris</w:t>
      </w:r>
      <w:proofErr w:type="spellEnd"/>
      <w:r>
        <w:rPr>
          <w:rFonts w:hint="eastAsia"/>
        </w:rPr>
        <w:t xml:space="preserve"> 480</w:t>
      </w:r>
    </w:p>
    <w:p w14:paraId="0D219774" w14:textId="77777777" w:rsidR="00A11367" w:rsidRDefault="00A11367" w:rsidP="00A11367">
      <w:pPr>
        <w:pStyle w:val="a9"/>
        <w:numPr>
          <w:ilvl w:val="0"/>
          <w:numId w:val="1"/>
        </w:numPr>
      </w:pPr>
      <w:r>
        <w:rPr>
          <w:rFonts w:hint="eastAsia"/>
        </w:rPr>
        <w:t>主要提供以下技术服务：</w:t>
      </w:r>
    </w:p>
    <w:p w14:paraId="6ECDECEC" w14:textId="3DDBDC43" w:rsidR="00A11367" w:rsidRDefault="005922BE" w:rsidP="00A11367">
      <w:pPr>
        <w:pStyle w:val="a9"/>
        <w:numPr>
          <w:ilvl w:val="1"/>
          <w:numId w:val="1"/>
        </w:numPr>
      </w:pPr>
      <w:r>
        <w:rPr>
          <w:rFonts w:hint="eastAsia"/>
        </w:rPr>
        <w:t>蛋白胶条鉴定</w:t>
      </w:r>
    </w:p>
    <w:p w14:paraId="507A9AA5" w14:textId="77777777" w:rsidR="005922BE" w:rsidRDefault="005922BE" w:rsidP="005922BE">
      <w:pPr>
        <w:pStyle w:val="a9"/>
        <w:ind w:left="880"/>
      </w:pPr>
      <w:r>
        <w:rPr>
          <w:rFonts w:hint="eastAsia"/>
        </w:rPr>
        <w:t>利用聚丙烯酰胺凝胶电泳</w:t>
      </w:r>
      <w:r>
        <w:rPr>
          <w:rFonts w:hint="eastAsia"/>
        </w:rPr>
        <w:t>（</w:t>
      </w:r>
      <w:r>
        <w:rPr>
          <w:rFonts w:hint="eastAsia"/>
        </w:rPr>
        <w:t>SDS-PAGE</w:t>
      </w:r>
      <w:r>
        <w:rPr>
          <w:rFonts w:hint="eastAsia"/>
        </w:rPr>
        <w:t>）</w:t>
      </w:r>
      <w:r>
        <w:rPr>
          <w:rFonts w:hint="eastAsia"/>
        </w:rPr>
        <w:t>分离蛋白质混合物</w:t>
      </w:r>
      <w:r>
        <w:rPr>
          <w:rFonts w:hint="eastAsia"/>
        </w:rPr>
        <w:t>，</w:t>
      </w:r>
      <w:r>
        <w:rPr>
          <w:rFonts w:hint="eastAsia"/>
        </w:rPr>
        <w:t>收集目的蛋白质条带</w:t>
      </w:r>
      <w:r>
        <w:rPr>
          <w:rFonts w:hint="eastAsia"/>
        </w:rPr>
        <w:t>，</w:t>
      </w:r>
      <w:r>
        <w:rPr>
          <w:rFonts w:hint="eastAsia"/>
        </w:rPr>
        <w:t>经胶内酶解后</w:t>
      </w:r>
      <w:r>
        <w:rPr>
          <w:rFonts w:hint="eastAsia"/>
        </w:rPr>
        <w:t>，</w:t>
      </w:r>
      <w:r>
        <w:rPr>
          <w:rFonts w:hint="eastAsia"/>
        </w:rPr>
        <w:t>利用质谱二级质谱的离子峰分布来鉴定样品中的肽段</w:t>
      </w:r>
      <w:r>
        <w:rPr>
          <w:rFonts w:hint="eastAsia"/>
        </w:rPr>
        <w:t>，通过</w:t>
      </w:r>
      <w:proofErr w:type="spellStart"/>
      <w:r>
        <w:rPr>
          <w:rFonts w:hint="eastAsia"/>
        </w:rPr>
        <w:t>uniprot</w:t>
      </w:r>
      <w:proofErr w:type="spellEnd"/>
      <w:r>
        <w:rPr>
          <w:rFonts w:hint="eastAsia"/>
        </w:rPr>
        <w:t>数据库</w:t>
      </w:r>
      <w:r>
        <w:rPr>
          <w:rFonts w:hint="eastAsia"/>
        </w:rPr>
        <w:t>/</w:t>
      </w:r>
      <w:r>
        <w:rPr>
          <w:rFonts w:hint="eastAsia"/>
        </w:rPr>
        <w:t>已知序列比</w:t>
      </w:r>
      <w:r>
        <w:rPr>
          <w:rFonts w:hint="eastAsia"/>
        </w:rPr>
        <w:t>进而鉴定蛋白种类。</w:t>
      </w:r>
    </w:p>
    <w:p w14:paraId="282A0F52" w14:textId="1F585834" w:rsidR="00A11367" w:rsidRDefault="005922BE" w:rsidP="00A11367">
      <w:pPr>
        <w:pStyle w:val="a9"/>
        <w:numPr>
          <w:ilvl w:val="1"/>
          <w:numId w:val="1"/>
        </w:numPr>
      </w:pPr>
      <w:r>
        <w:rPr>
          <w:rFonts w:hint="eastAsia"/>
        </w:rPr>
        <w:t>Co-IP</w:t>
      </w:r>
      <w:r>
        <w:rPr>
          <w:rFonts w:hint="eastAsia"/>
        </w:rPr>
        <w:t>样品中蛋白鉴定</w:t>
      </w:r>
    </w:p>
    <w:p w14:paraId="5E736A78" w14:textId="26C91ECE" w:rsidR="005922BE" w:rsidRDefault="005922BE" w:rsidP="005922BE">
      <w:pPr>
        <w:pStyle w:val="a9"/>
        <w:ind w:left="880"/>
        <w:rPr>
          <w:rFonts w:hint="eastAsia"/>
        </w:rPr>
      </w:pPr>
      <w:r>
        <w:rPr>
          <w:rFonts w:hint="eastAsia"/>
        </w:rPr>
        <w:t>类似胶条蛋白鉴定，若送样磁珠样本，结果交付时间会略微延长。</w:t>
      </w:r>
    </w:p>
    <w:p w14:paraId="735A055F" w14:textId="402C4D3E" w:rsidR="00A11367" w:rsidRDefault="005922BE" w:rsidP="00A11367">
      <w:pPr>
        <w:pStyle w:val="a9"/>
        <w:numPr>
          <w:ilvl w:val="1"/>
          <w:numId w:val="1"/>
        </w:numPr>
      </w:pPr>
      <w:r>
        <w:rPr>
          <w:rFonts w:hint="eastAsia"/>
        </w:rPr>
        <w:t>修饰鉴定</w:t>
      </w:r>
    </w:p>
    <w:p w14:paraId="1CD8D0E9" w14:textId="36833628" w:rsidR="00A11367" w:rsidRDefault="005922BE" w:rsidP="00A11367">
      <w:pPr>
        <w:pStyle w:val="a9"/>
        <w:ind w:left="880"/>
      </w:pPr>
      <w:r>
        <w:rPr>
          <w:rFonts w:hint="eastAsia"/>
        </w:rPr>
        <w:t>不通过磁珠富集，直接对样本中蛋白修饰位点</w:t>
      </w:r>
      <w:proofErr w:type="gramStart"/>
      <w:r>
        <w:rPr>
          <w:rFonts w:hint="eastAsia"/>
        </w:rPr>
        <w:t>进行搜库比对</w:t>
      </w:r>
      <w:proofErr w:type="gramEnd"/>
      <w:r>
        <w:rPr>
          <w:rFonts w:hint="eastAsia"/>
        </w:rPr>
        <w:t>，可检索常规修饰位点，若有特殊修饰需要鉴定，请</w:t>
      </w:r>
      <w:r>
        <w:rPr>
          <w:rFonts w:hint="eastAsia"/>
        </w:rPr>
        <w:t>准确</w:t>
      </w:r>
      <w:r>
        <w:rPr>
          <w:rFonts w:hint="eastAsia"/>
        </w:rPr>
        <w:t>提供该序列修饰前后单同位素分子量变化（精确到小数点后四位）</w:t>
      </w:r>
    </w:p>
    <w:p w14:paraId="357006A4" w14:textId="69558FF5" w:rsidR="00A11367" w:rsidRDefault="00A11367" w:rsidP="005922BE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送样要求：</w:t>
      </w:r>
    </w:p>
    <w:tbl>
      <w:tblPr>
        <w:tblStyle w:val="ae"/>
        <w:tblW w:w="7370" w:type="dxa"/>
        <w:tblInd w:w="880" w:type="dxa"/>
        <w:tblLook w:val="04A0" w:firstRow="1" w:lastRow="0" w:firstColumn="1" w:lastColumn="0" w:noHBand="0" w:noVBand="1"/>
      </w:tblPr>
      <w:tblGrid>
        <w:gridCol w:w="1247"/>
        <w:gridCol w:w="6123"/>
      </w:tblGrid>
      <w:tr w:rsidR="00C4622E" w14:paraId="135D9009" w14:textId="77777777" w:rsidTr="00C4622E">
        <w:tc>
          <w:tcPr>
            <w:tcW w:w="1247" w:type="dxa"/>
          </w:tcPr>
          <w:p w14:paraId="461D9534" w14:textId="4A344B61" w:rsidR="00A11367" w:rsidRDefault="00A11367" w:rsidP="00A11367">
            <w:pPr>
              <w:pStyle w:val="a9"/>
              <w:ind w:left="0"/>
            </w:pPr>
            <w:r>
              <w:rPr>
                <w:rFonts w:hint="eastAsia"/>
              </w:rPr>
              <w:t>样品类型</w:t>
            </w:r>
          </w:p>
        </w:tc>
        <w:tc>
          <w:tcPr>
            <w:tcW w:w="6123" w:type="dxa"/>
          </w:tcPr>
          <w:p w14:paraId="77F1D3F7" w14:textId="50D461A1" w:rsidR="00A11367" w:rsidRDefault="00A11367" w:rsidP="00A11367">
            <w:pPr>
              <w:pStyle w:val="a9"/>
              <w:ind w:left="0"/>
            </w:pPr>
            <w:r>
              <w:rPr>
                <w:rFonts w:hint="eastAsia"/>
              </w:rPr>
              <w:t>送样要求</w:t>
            </w:r>
          </w:p>
        </w:tc>
      </w:tr>
      <w:tr w:rsidR="00C4622E" w14:paraId="5B84D179" w14:textId="77777777" w:rsidTr="00C4622E">
        <w:tc>
          <w:tcPr>
            <w:tcW w:w="1247" w:type="dxa"/>
          </w:tcPr>
          <w:p w14:paraId="076B72EE" w14:textId="6AEC3DB5" w:rsidR="00A11367" w:rsidRDefault="00A11367" w:rsidP="00A11367">
            <w:pPr>
              <w:pStyle w:val="a9"/>
              <w:ind w:left="0"/>
            </w:pPr>
            <w:proofErr w:type="gramStart"/>
            <w:r>
              <w:rPr>
                <w:rFonts w:hint="eastAsia"/>
              </w:rPr>
              <w:t>考染胶条</w:t>
            </w:r>
            <w:proofErr w:type="gramEnd"/>
          </w:p>
        </w:tc>
        <w:tc>
          <w:tcPr>
            <w:tcW w:w="6123" w:type="dxa"/>
          </w:tcPr>
          <w:p w14:paraId="4024B6C7" w14:textId="04A52DA3" w:rsidR="00A11367" w:rsidRDefault="00C4622E" w:rsidP="00A11367">
            <w:pPr>
              <w:pStyle w:val="a9"/>
              <w:ind w:left="0"/>
            </w:pPr>
            <w:r>
              <w:rPr>
                <w:rFonts w:hint="eastAsia"/>
              </w:rPr>
              <w:t>条带肉眼可见；样品胶体积尽量不超过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平方毫米，尽量不切没蛋白条带的多余胶</w:t>
            </w:r>
          </w:p>
        </w:tc>
      </w:tr>
      <w:tr w:rsidR="00C4622E" w14:paraId="524147D3" w14:textId="77777777" w:rsidTr="00C4622E">
        <w:tc>
          <w:tcPr>
            <w:tcW w:w="1247" w:type="dxa"/>
          </w:tcPr>
          <w:p w14:paraId="1F48766B" w14:textId="4B15B490" w:rsidR="00A11367" w:rsidRDefault="00A11367" w:rsidP="00A11367">
            <w:pPr>
              <w:pStyle w:val="a9"/>
              <w:ind w:left="0"/>
            </w:pPr>
            <w:r>
              <w:rPr>
                <w:rFonts w:hint="eastAsia"/>
              </w:rPr>
              <w:t>银染胶条</w:t>
            </w:r>
          </w:p>
        </w:tc>
        <w:tc>
          <w:tcPr>
            <w:tcW w:w="6123" w:type="dxa"/>
          </w:tcPr>
          <w:p w14:paraId="39F39FAB" w14:textId="0AEAC317" w:rsidR="00A11367" w:rsidRDefault="00C4622E" w:rsidP="00A11367">
            <w:pPr>
              <w:pStyle w:val="a9"/>
              <w:ind w:left="0"/>
            </w:pPr>
            <w:r>
              <w:rPr>
                <w:rFonts w:hint="eastAsia"/>
              </w:rPr>
              <w:t>条带肉眼可见；</w:t>
            </w:r>
            <w:proofErr w:type="gramStart"/>
            <w:r>
              <w:rPr>
                <w:rFonts w:hint="eastAsia"/>
              </w:rPr>
              <w:t>因银染相对</w:t>
            </w:r>
            <w:proofErr w:type="gramEnd"/>
            <w:r>
              <w:rPr>
                <w:rFonts w:hint="eastAsia"/>
              </w:rPr>
              <w:t>更灵敏，可重复多跑几个泳道将目的条带切下，合并为一个样本；样品胶体积尽量控制不要太大</w:t>
            </w:r>
          </w:p>
        </w:tc>
      </w:tr>
      <w:tr w:rsidR="00C4622E" w14:paraId="52EC7222" w14:textId="77777777" w:rsidTr="00C4622E">
        <w:tc>
          <w:tcPr>
            <w:tcW w:w="1247" w:type="dxa"/>
          </w:tcPr>
          <w:p w14:paraId="1164FF5A" w14:textId="6131186E" w:rsidR="00A11367" w:rsidRDefault="00A11367" w:rsidP="00A11367">
            <w:pPr>
              <w:pStyle w:val="a9"/>
              <w:ind w:left="0"/>
            </w:pPr>
            <w:r>
              <w:rPr>
                <w:rFonts w:hint="eastAsia"/>
              </w:rPr>
              <w:t>磁珠</w:t>
            </w:r>
          </w:p>
        </w:tc>
        <w:tc>
          <w:tcPr>
            <w:tcW w:w="6123" w:type="dxa"/>
          </w:tcPr>
          <w:p w14:paraId="6AA4E4DA" w14:textId="46FF930A" w:rsidR="00A11367" w:rsidRDefault="00C4622E" w:rsidP="00A11367">
            <w:pPr>
              <w:pStyle w:val="a9"/>
              <w:ind w:left="0"/>
            </w:pPr>
            <w:r>
              <w:rPr>
                <w:rFonts w:hint="eastAsia"/>
              </w:rPr>
              <w:t>吸去上清，干燥保存于</w:t>
            </w:r>
            <w:r>
              <w:rPr>
                <w:rFonts w:hint="eastAsia"/>
              </w:rPr>
              <w:t>Ep</w:t>
            </w:r>
            <w:r>
              <w:rPr>
                <w:rFonts w:hint="eastAsia"/>
              </w:rPr>
              <w:t>管内</w:t>
            </w:r>
          </w:p>
        </w:tc>
      </w:tr>
      <w:tr w:rsidR="00C4622E" w14:paraId="39A1F4B4" w14:textId="77777777" w:rsidTr="00C4622E">
        <w:tc>
          <w:tcPr>
            <w:tcW w:w="1247" w:type="dxa"/>
          </w:tcPr>
          <w:p w14:paraId="53E3749E" w14:textId="6F08E864" w:rsidR="00A11367" w:rsidRDefault="00A11367" w:rsidP="00A11367">
            <w:pPr>
              <w:pStyle w:val="a9"/>
              <w:ind w:left="0"/>
            </w:pPr>
            <w:r>
              <w:rPr>
                <w:rFonts w:hint="eastAsia"/>
              </w:rPr>
              <w:t>溶液</w:t>
            </w:r>
          </w:p>
        </w:tc>
        <w:tc>
          <w:tcPr>
            <w:tcW w:w="6123" w:type="dxa"/>
          </w:tcPr>
          <w:p w14:paraId="57FDAB50" w14:textId="16D88A47" w:rsidR="00A11367" w:rsidRDefault="00C4622E" w:rsidP="00C4622E">
            <w:r>
              <w:rPr>
                <w:rFonts w:hint="eastAsia"/>
              </w:rPr>
              <w:t>样品不能含有</w:t>
            </w:r>
            <w:r>
              <w:rPr>
                <w:rFonts w:hint="eastAsia"/>
              </w:rPr>
              <w:t xml:space="preserve"> SDS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TritonX-100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NP-40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PEG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Tween-20</w:t>
            </w:r>
            <w:r>
              <w:rPr>
                <w:rFonts w:hint="eastAsia"/>
              </w:rPr>
              <w:t>、甘油和</w:t>
            </w:r>
            <w:r>
              <w:rPr>
                <w:rFonts w:hint="eastAsia"/>
              </w:rPr>
              <w:t>CHAPS</w:t>
            </w:r>
            <w:r>
              <w:rPr>
                <w:rFonts w:hint="eastAsia"/>
              </w:rPr>
              <w:t>等去污剂（会抑制目的蛋白的信号）。</w:t>
            </w:r>
          </w:p>
        </w:tc>
      </w:tr>
      <w:tr w:rsidR="00C4622E" w14:paraId="1BB36413" w14:textId="77777777" w:rsidTr="00C4622E">
        <w:tc>
          <w:tcPr>
            <w:tcW w:w="1247" w:type="dxa"/>
          </w:tcPr>
          <w:p w14:paraId="0465C5FF" w14:textId="141AA3A5" w:rsidR="00C4622E" w:rsidRDefault="00C4622E" w:rsidP="00A11367">
            <w:pPr>
              <w:pStyle w:val="a9"/>
              <w:ind w:left="0"/>
            </w:pPr>
            <w:r>
              <w:rPr>
                <w:rFonts w:hint="eastAsia"/>
              </w:rPr>
              <w:t>细胞</w:t>
            </w:r>
          </w:p>
        </w:tc>
        <w:tc>
          <w:tcPr>
            <w:tcW w:w="6123" w:type="dxa"/>
          </w:tcPr>
          <w:p w14:paraId="4F6974D1" w14:textId="31D0C90E" w:rsidR="00C4622E" w:rsidRDefault="00C4622E" w:rsidP="00C4622E">
            <w:r>
              <w:rPr>
                <w:rFonts w:hint="eastAsia"/>
              </w:rPr>
              <w:t>去上清后置于</w:t>
            </w:r>
            <w:r>
              <w:rPr>
                <w:rFonts w:hint="eastAsia"/>
              </w:rPr>
              <w:t>1.5mL Ep</w:t>
            </w:r>
            <w:r>
              <w:rPr>
                <w:rFonts w:hint="eastAsia"/>
              </w:rPr>
              <w:t>管中，液氮速冻，细胞数量为</w:t>
            </w:r>
            <w:r>
              <w:rPr>
                <w:rFonts w:hint="eastAsia"/>
              </w:rPr>
              <w:t>1e6</w:t>
            </w:r>
            <w:r>
              <w:rPr>
                <w:rFonts w:hint="eastAsia"/>
              </w:rPr>
              <w:t>左右最佳</w:t>
            </w:r>
          </w:p>
        </w:tc>
      </w:tr>
      <w:tr w:rsidR="00C4622E" w14:paraId="4B137DDE" w14:textId="77777777" w:rsidTr="00C4622E">
        <w:tc>
          <w:tcPr>
            <w:tcW w:w="1247" w:type="dxa"/>
          </w:tcPr>
          <w:p w14:paraId="153572A9" w14:textId="156607D7" w:rsidR="00A11367" w:rsidRDefault="00A11367" w:rsidP="00A11367">
            <w:pPr>
              <w:pStyle w:val="a9"/>
              <w:ind w:left="0"/>
            </w:pPr>
            <w:r>
              <w:rPr>
                <w:rFonts w:hint="eastAsia"/>
              </w:rPr>
              <w:t>数据库</w:t>
            </w:r>
          </w:p>
        </w:tc>
        <w:tc>
          <w:tcPr>
            <w:tcW w:w="6123" w:type="dxa"/>
          </w:tcPr>
          <w:p w14:paraId="3E7C8BFF" w14:textId="61681C06" w:rsidR="00A11367" w:rsidRDefault="00C4622E" w:rsidP="00A11367">
            <w:pPr>
              <w:pStyle w:val="a9"/>
              <w:ind w:left="0"/>
            </w:pPr>
            <w:r w:rsidRPr="00C4622E">
              <w:rPr>
                <w:rFonts w:hint="eastAsia"/>
              </w:rPr>
              <w:t>所送样品所属的蛋白库要在</w:t>
            </w:r>
            <w:r w:rsidRPr="00C4622E">
              <w:rPr>
                <w:rFonts w:hint="eastAsia"/>
              </w:rPr>
              <w:t xml:space="preserve"> uniprot.org </w:t>
            </w:r>
            <w:r w:rsidRPr="00C4622E">
              <w:rPr>
                <w:rFonts w:hint="eastAsia"/>
              </w:rPr>
              <w:t>或者</w:t>
            </w:r>
            <w:r w:rsidRPr="00C4622E">
              <w:rPr>
                <w:rFonts w:hint="eastAsia"/>
              </w:rPr>
              <w:t xml:space="preserve"> NCBI </w:t>
            </w:r>
            <w:r w:rsidRPr="00C4622E">
              <w:rPr>
                <w:rFonts w:hint="eastAsia"/>
              </w:rPr>
              <w:t>上面能搜索到，或者自己提供正确格式的蛋白库文件。</w:t>
            </w:r>
          </w:p>
        </w:tc>
      </w:tr>
    </w:tbl>
    <w:p w14:paraId="239379C6" w14:textId="47D64AAA" w:rsidR="00A11367" w:rsidRDefault="005922BE" w:rsidP="00A11367">
      <w:pPr>
        <w:pStyle w:val="a9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B10919" wp14:editId="4B713433">
            <wp:simplePos x="0" y="0"/>
            <wp:positionH relativeFrom="margin">
              <wp:posOffset>207010</wp:posOffset>
            </wp:positionH>
            <wp:positionV relativeFrom="paragraph">
              <wp:posOffset>320675</wp:posOffset>
            </wp:positionV>
            <wp:extent cx="4791075" cy="3270250"/>
            <wp:effectExtent l="0" t="0" r="9525" b="6350"/>
            <wp:wrapTight wrapText="bothSides">
              <wp:wrapPolygon edited="0">
                <wp:start x="0" y="0"/>
                <wp:lineTo x="0" y="21516"/>
                <wp:lineTo x="21557" y="21516"/>
                <wp:lineTo x="21557" y="0"/>
                <wp:lineTo x="0" y="0"/>
              </wp:wrapPolygon>
            </wp:wrapTight>
            <wp:docPr id="5142840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8409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22E">
        <w:rPr>
          <w:rFonts w:hint="eastAsia"/>
        </w:rPr>
        <w:t>胶样品（</w:t>
      </w:r>
      <w:r w:rsidR="00C4622E">
        <w:rPr>
          <w:rFonts w:hint="eastAsia"/>
        </w:rPr>
        <w:t>SDS-PAGE</w:t>
      </w:r>
      <w:r w:rsidR="00C4622E">
        <w:rPr>
          <w:rFonts w:hint="eastAsia"/>
        </w:rPr>
        <w:t>）制</w:t>
      </w:r>
      <w:proofErr w:type="gramStart"/>
      <w:r w:rsidR="00C4622E">
        <w:rPr>
          <w:rFonts w:hint="eastAsia"/>
        </w:rPr>
        <w:t>样注意</w:t>
      </w:r>
      <w:proofErr w:type="gramEnd"/>
      <w:r w:rsidR="00C4622E">
        <w:rPr>
          <w:rFonts w:hint="eastAsia"/>
        </w:rPr>
        <w:t>事项</w:t>
      </w:r>
    </w:p>
    <w:p w14:paraId="48F6F529" w14:textId="700696DB" w:rsidR="00C4622E" w:rsidRDefault="00C4622E" w:rsidP="00C4622E">
      <w:pPr>
        <w:pStyle w:val="a9"/>
        <w:ind w:left="360"/>
      </w:pPr>
    </w:p>
    <w:p w14:paraId="522547EB" w14:textId="77777777" w:rsidR="00C4622E" w:rsidRDefault="00C4622E" w:rsidP="00C4622E">
      <w:pPr>
        <w:pStyle w:val="a9"/>
        <w:numPr>
          <w:ilvl w:val="0"/>
          <w:numId w:val="2"/>
        </w:numPr>
      </w:pPr>
      <w:r>
        <w:rPr>
          <w:rFonts w:hint="eastAsia"/>
        </w:rPr>
        <w:lastRenderedPageBreak/>
        <w:t>准备样品过程中要带上头套、手套、口罩，注意减少角蛋白污染。</w:t>
      </w:r>
    </w:p>
    <w:p w14:paraId="0AE5C2FA" w14:textId="39DD9203" w:rsidR="00C4622E" w:rsidRDefault="00C4622E" w:rsidP="00C4622E">
      <w:pPr>
        <w:pStyle w:val="a9"/>
        <w:numPr>
          <w:ilvl w:val="0"/>
          <w:numId w:val="2"/>
        </w:numPr>
      </w:pPr>
      <w:proofErr w:type="gramStart"/>
      <w:r>
        <w:rPr>
          <w:rFonts w:hint="eastAsia"/>
        </w:rPr>
        <w:t>考染样品</w:t>
      </w:r>
      <w:proofErr w:type="gramEnd"/>
      <w:r>
        <w:rPr>
          <w:rFonts w:hint="eastAsia"/>
        </w:rPr>
        <w:t>脱色时，先用脱色液脱色至空白</w:t>
      </w:r>
      <w:proofErr w:type="gramStart"/>
      <w:r>
        <w:rPr>
          <w:rFonts w:hint="eastAsia"/>
        </w:rPr>
        <w:t>胶位置</w:t>
      </w:r>
      <w:proofErr w:type="gramEnd"/>
      <w:r>
        <w:rPr>
          <w:rFonts w:hint="eastAsia"/>
        </w:rPr>
        <w:t>基本澄清透明；然后，换超纯水浸泡</w:t>
      </w:r>
      <w:r>
        <w:rPr>
          <w:rFonts w:hint="eastAsia"/>
        </w:rPr>
        <w:t>1h</w:t>
      </w:r>
      <w:r>
        <w:rPr>
          <w:rFonts w:hint="eastAsia"/>
        </w:rPr>
        <w:t>左右，使胶浸泡至膨胀到染色时的大小，即可进行切胶。（切胶的刀片最好选用手术刀片；不宜使用生锈的刀片切胶）。</w:t>
      </w:r>
    </w:p>
    <w:p w14:paraId="5521F4D8" w14:textId="77777777" w:rsidR="00C4622E" w:rsidRDefault="00C4622E" w:rsidP="00C4622E">
      <w:pPr>
        <w:pStyle w:val="a9"/>
        <w:numPr>
          <w:ilvl w:val="0"/>
          <w:numId w:val="2"/>
        </w:numPr>
      </w:pPr>
      <w:r>
        <w:rPr>
          <w:rFonts w:hint="eastAsia"/>
        </w:rPr>
        <w:t>为减少样品损失，切胶时请务必去掉非目的条带部分，防止引入杂蛋白影响鉴定效果。</w:t>
      </w:r>
    </w:p>
    <w:p w14:paraId="5AC26E11" w14:textId="27C79BAC" w:rsidR="00C4622E" w:rsidRDefault="00C4622E" w:rsidP="00C4622E">
      <w:pPr>
        <w:pStyle w:val="a9"/>
        <w:numPr>
          <w:ilvl w:val="0"/>
          <w:numId w:val="2"/>
        </w:numPr>
      </w:pPr>
      <w:r>
        <w:rPr>
          <w:rFonts w:hint="eastAsia"/>
        </w:rPr>
        <w:t>切胶时请尽量避免条带间的交叉污染。</w:t>
      </w:r>
    </w:p>
    <w:p w14:paraId="7CC7E348" w14:textId="29677C99" w:rsidR="005922BE" w:rsidRDefault="005922BE" w:rsidP="00C4622E">
      <w:pPr>
        <w:pStyle w:val="a9"/>
        <w:numPr>
          <w:ilvl w:val="0"/>
          <w:numId w:val="2"/>
        </w:numPr>
      </w:pPr>
      <w:r>
        <w:rPr>
          <w:rFonts w:hint="eastAsia"/>
        </w:rPr>
        <w:t>若需要对整个泳道蛋白进行鉴定，请在跑胶时无需完全跑开，将样品跑至分离胶下</w:t>
      </w:r>
      <w:r>
        <w:rPr>
          <w:rFonts w:hint="eastAsia"/>
        </w:rPr>
        <w:t>1cm</w:t>
      </w:r>
      <w:r>
        <w:rPr>
          <w:rFonts w:hint="eastAsia"/>
        </w:rPr>
        <w:t>即可，如下图所示。</w:t>
      </w:r>
    </w:p>
    <w:p w14:paraId="14FF5423" w14:textId="645FDFF4" w:rsidR="00D2793F" w:rsidRDefault="005922BE" w:rsidP="005922B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F6DA1" wp14:editId="5ED71BAD">
                <wp:simplePos x="0" y="0"/>
                <wp:positionH relativeFrom="column">
                  <wp:posOffset>800100</wp:posOffset>
                </wp:positionH>
                <wp:positionV relativeFrom="paragraph">
                  <wp:posOffset>512444</wp:posOffset>
                </wp:positionV>
                <wp:extent cx="352425" cy="200025"/>
                <wp:effectExtent l="0" t="0" r="28575" b="28575"/>
                <wp:wrapNone/>
                <wp:docPr id="195015797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83F1B" id="矩形 2" o:spid="_x0000_s1026" style="position:absolute;margin-left:63pt;margin-top:40.35pt;width:27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" filled="f" strokecolor="#e00" strokeweight="1pt">
                <v:stroke dashstyle="3 1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F34E944" wp14:editId="7D4DA38C">
            <wp:simplePos x="0" y="0"/>
            <wp:positionH relativeFrom="column">
              <wp:posOffset>381000</wp:posOffset>
            </wp:positionH>
            <wp:positionV relativeFrom="paragraph">
              <wp:posOffset>121920</wp:posOffset>
            </wp:positionV>
            <wp:extent cx="139065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304" y="21499"/>
                <wp:lineTo x="21304" y="0"/>
                <wp:lineTo x="0" y="0"/>
              </wp:wrapPolygon>
            </wp:wrapTight>
            <wp:docPr id="3748925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47" t="24965" r="29013" b="44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27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86191"/>
    <w:multiLevelType w:val="hybridMultilevel"/>
    <w:tmpl w:val="861A2C82"/>
    <w:lvl w:ilvl="0" w:tplc="04090005">
      <w:start w:val="1"/>
      <w:numFmt w:val="bullet"/>
      <w:lvlText w:val="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534A75EB"/>
    <w:multiLevelType w:val="hybridMultilevel"/>
    <w:tmpl w:val="1D8E4BEA"/>
    <w:lvl w:ilvl="0" w:tplc="D36C9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94465287">
    <w:abstractNumId w:val="1"/>
  </w:num>
  <w:num w:numId="2" w16cid:durableId="46146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75"/>
    <w:rsid w:val="000D116C"/>
    <w:rsid w:val="00157897"/>
    <w:rsid w:val="00224A75"/>
    <w:rsid w:val="002A25A4"/>
    <w:rsid w:val="005922BE"/>
    <w:rsid w:val="00592EC8"/>
    <w:rsid w:val="008252C3"/>
    <w:rsid w:val="00A11367"/>
    <w:rsid w:val="00C4622E"/>
    <w:rsid w:val="00D2793F"/>
    <w:rsid w:val="00E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82B6"/>
  <w15:chartTrackingRefBased/>
  <w15:docId w15:val="{52694967-C266-4E35-9B26-EA80AAE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A7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A7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A7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A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A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A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A7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A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A7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A7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4A7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A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A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A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A7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A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A7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24A75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A1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Wang</dc:creator>
  <cp:keywords/>
  <dc:description/>
  <cp:lastModifiedBy>Eunice Wang</cp:lastModifiedBy>
  <cp:revision>5</cp:revision>
  <dcterms:created xsi:type="dcterms:W3CDTF">2025-11-17T07:27:00Z</dcterms:created>
  <dcterms:modified xsi:type="dcterms:W3CDTF">2025-11-17T07:59:00Z</dcterms:modified>
</cp:coreProperties>
</file>